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36" w:rsidRPr="002E7D8B" w:rsidRDefault="00A03236" w:rsidP="00A0323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236" w:rsidRPr="002E7D8B" w:rsidRDefault="00A03236" w:rsidP="00A03236">
      <w:pPr>
        <w:ind w:left="-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93F38CF" wp14:editId="49731E9D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236" w:rsidRPr="002E7D8B" w:rsidRDefault="00A03236" w:rsidP="00A0323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РФ</w:t>
      </w:r>
    </w:p>
    <w:p w:rsidR="00BB4D15" w:rsidRPr="002E7D8B" w:rsidRDefault="00A03236" w:rsidP="00A0323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АБАЛАКОВСКОГО  СЕЛЬСОВЕТА </w:t>
      </w:r>
    </w:p>
    <w:p w:rsidR="00A03236" w:rsidRPr="002E7D8B" w:rsidRDefault="00A03236" w:rsidP="00A0323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ЕНИСЕЙСКОГО РАЙОНА КРАСНОЯРСКОГО КРАЯ</w:t>
      </w:r>
    </w:p>
    <w:p w:rsidR="00A03236" w:rsidRPr="002E7D8B" w:rsidRDefault="00A03236" w:rsidP="00A0323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3236" w:rsidRPr="002E7D8B" w:rsidRDefault="00A03236" w:rsidP="00A0323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03236" w:rsidRPr="002E7D8B" w:rsidRDefault="00A03236" w:rsidP="00A03236">
      <w:pPr>
        <w:tabs>
          <w:tab w:val="left" w:pos="1440"/>
        </w:tabs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3236" w:rsidRPr="002E7D8B" w:rsidRDefault="00BB4D15" w:rsidP="00A0323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29.12.</w:t>
      </w:r>
      <w:r w:rsidR="00BD5489"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2020</w:t>
      </w:r>
      <w:r w:rsidR="00A03236"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r w:rsidR="00A03236"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4097C"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03236"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с. Абалаково                                     </w:t>
      </w:r>
      <w:r w:rsidR="0024097C"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A03236"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2E7D8B"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98</w:t>
      </w:r>
      <w:r w:rsidR="00A03236"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-п</w:t>
      </w:r>
      <w:r w:rsidR="00A03236"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03236" w:rsidRPr="002E7D8B" w:rsidRDefault="00A03236" w:rsidP="00A03236">
      <w:pPr>
        <w:tabs>
          <w:tab w:val="left" w:pos="284"/>
          <w:tab w:val="left" w:pos="426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236" w:rsidRPr="002E7D8B" w:rsidRDefault="00A03236" w:rsidP="00A0323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36CF4"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2E7D8B"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</w:t>
      </w:r>
    </w:p>
    <w:p w:rsidR="002E7D8B" w:rsidRPr="002E7D8B" w:rsidRDefault="002E7D8B" w:rsidP="00A0323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03236" w:rsidRPr="002E7D8B" w:rsidRDefault="00A03236" w:rsidP="00A0323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E7D8B"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4 статьи 115.3 Бюджетного кодекса </w:t>
      </w:r>
      <w:r w:rsidR="00536CF4" w:rsidRPr="002E7D8B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Федерации», руководствуясь Уставом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Абалаковского сельсовета Енисейского района </w:t>
      </w:r>
      <w:r w:rsidR="00536CF4" w:rsidRPr="002E7D8B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03A08" w:rsidRPr="002E7D8B" w:rsidRDefault="00536CF4" w:rsidP="001F171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    1.  </w:t>
      </w:r>
      <w:r w:rsidR="002E7D8B" w:rsidRPr="002E7D8B">
        <w:rPr>
          <w:rFonts w:ascii="Arial" w:eastAsia="Times New Roman" w:hAnsi="Arial" w:cs="Arial"/>
          <w:sz w:val="24"/>
          <w:szCs w:val="24"/>
          <w:lang w:eastAsia="ru-RU"/>
        </w:rPr>
        <w:t>Утвердить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согласно приложению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B4D15"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BD5489" w:rsidRPr="002E7D8B" w:rsidRDefault="002E7D8B" w:rsidP="00A03236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   2</w:t>
      </w:r>
      <w:r w:rsidR="00BD5489" w:rsidRPr="002E7D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B4D15" w:rsidRPr="002E7D8B">
        <w:rPr>
          <w:rFonts w:ascii="Arial" w:hAnsi="Arial" w:cs="Arial"/>
          <w:sz w:val="24"/>
          <w:szCs w:val="24"/>
        </w:rPr>
        <w:t xml:space="preserve"> </w:t>
      </w:r>
      <w:r w:rsidR="00BD5489"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="00BD5489" w:rsidRPr="002E7D8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https://abalakovo-adm.ru/</w:t>
        </w:r>
      </w:hyperlink>
      <w:r w:rsidR="00BD5489" w:rsidRPr="002E7D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03236" w:rsidRPr="002E7D8B" w:rsidRDefault="00A03236" w:rsidP="00A03236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03236" w:rsidRPr="002E7D8B" w:rsidRDefault="00A03236" w:rsidP="00A0323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236" w:rsidRPr="002E7D8B" w:rsidRDefault="00867F6B" w:rsidP="00A03236">
      <w:pPr>
        <w:jc w:val="left"/>
        <w:rPr>
          <w:rFonts w:ascii="Arial" w:eastAsia="Times New Roman" w:hAnsi="Arial" w:cs="Arial"/>
          <w:sz w:val="24"/>
          <w:szCs w:val="24"/>
          <w:lang w:eastAsia="ru-RU"/>
        </w:rPr>
        <w:sectPr w:rsidR="00A03236" w:rsidRPr="002E7D8B" w:rsidSect="00B54CB1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И.о главы</w:t>
      </w:r>
      <w:r w:rsidR="00A03236"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A03236" w:rsidRPr="002E7D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03236" w:rsidRPr="002E7D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03236" w:rsidRPr="002E7D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</w:t>
      </w:r>
      <w:r w:rsidR="00A03236"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>Г.С. Свиридова</w:t>
      </w: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CF4" w:rsidRPr="002E7D8B" w:rsidRDefault="00536CF4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536CF4" w:rsidRPr="002E7D8B" w:rsidRDefault="00536CF4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536CF4" w:rsidRPr="002E7D8B" w:rsidRDefault="00536CF4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Абалаковского сельсовета </w:t>
      </w:r>
    </w:p>
    <w:p w:rsidR="00536CF4" w:rsidRPr="002E7D8B" w:rsidRDefault="00FC1568" w:rsidP="00536CF4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29.12.2020г. № 98</w:t>
      </w:r>
      <w:bookmarkStart w:id="0" w:name="_GoBack"/>
      <w:bookmarkEnd w:id="0"/>
      <w:r w:rsidR="00536CF4" w:rsidRPr="002E7D8B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36CF4" w:rsidRPr="002E7D8B" w:rsidRDefault="00536CF4" w:rsidP="00536CF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CF4" w:rsidRPr="002E7D8B" w:rsidRDefault="00536CF4" w:rsidP="00536CF4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1551" w:rsidRPr="002E7D8B" w:rsidRDefault="00CC1551" w:rsidP="00536CF4">
      <w:pPr>
        <w:rPr>
          <w:rFonts w:ascii="Arial" w:hAnsi="Arial" w:cs="Arial"/>
          <w:sz w:val="24"/>
          <w:szCs w:val="24"/>
        </w:rPr>
      </w:pPr>
    </w:p>
    <w:p w:rsidR="002E7D8B" w:rsidRPr="002E7D8B" w:rsidRDefault="002E7D8B" w:rsidP="002E7D8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</w:t>
      </w:r>
    </w:p>
    <w:p w:rsidR="002E7D8B" w:rsidRPr="002E7D8B" w:rsidRDefault="002E7D8B" w:rsidP="002E7D8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ФИНАНСОВОГО СОСТОЯНИЯ ПРИНЦИПАЛА</w:t>
      </w:r>
    </w:p>
    <w:p w:rsidR="002E7D8B" w:rsidRPr="002E7D8B" w:rsidRDefault="002E7D8B" w:rsidP="002E7D8B">
      <w:pPr>
        <w:autoSpaceDE w:val="0"/>
        <w:autoSpaceDN w:val="0"/>
        <w:adjustRightInd w:val="0"/>
        <w:jc w:val="left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7D8B" w:rsidRPr="002E7D8B" w:rsidRDefault="002E7D8B" w:rsidP="002E7D8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- Порядок) разработан в целях обеспечения реализации в муниципальном образовании 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>Абалаковский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Енисейского района Красноярского края 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>требований пункта 4 статьи 115.3 Бюджетного кодекса Российской Федерации.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1.2. Проверка финансового состояния принципала проводит Администрация 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Абалаковского сельсовета Енисейского района Красноярского края 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(далее - Администрация). 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1.3. Период, за который проводится анализ финансового состояния, включает: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а) последний отчетный период текущего года (последний отчетный период);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б) предыдущий финансовый год (2-й отчетный период);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в) год, предшествующий предыдущему финансовому году (1-й отчетный период).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три финансовых года, являющихся в этом случае соответственно 1-м, 2-м и последним отчетными периодами.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этом случае анализируемым периодом.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1.4.. Для проведения анализа финансового состояния принципалом предоставляются: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данные бухгалтерского баланса (форма по ОКУД 0710001,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копия отчета о финансовых результатах (форма по ОКУД 0710002,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расшифровка дебиторской и кредиторской задолженности к указанной бухгалтерской отчетности с указанием дат возникновения;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 ежегодной аудиторской проверке).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1.5. Администрация проводит проверку финансового состояния принципала в течение 20 рабочих дней со дня предоставления перечисленных документов.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Проведение анализа финансового состояния принципала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2.1. Финансовые показатели 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2.1.1. Анализ финансового состояния принципала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стоимость чистых активов (К1);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коэффициент покрытия основных средств собственными средствами (К2);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коэффициент текущей ликвидности (К3);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рентабельность продаж (К4);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норма чистой прибыли (К5).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68"/>
      <w:bookmarkEnd w:id="1"/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2.2. Методика расчета финансовых показателей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2.2.1. В целях анализа финансового состояния принципала стоимость чистых активов принципала (К1) по состоянию на конец каждого отчетного периода определяется по формуле: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К1 = СА - ДО - КО + ДБП, где: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СА - совокупные активы (код строки бухгалтерского баланса 1600);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ДО - долгосрочные обязательства (код строки бухгалтерского баланса 1400);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КО - краткосрочные обязательства (код строки бухгалтерского баланса 1500);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ДБП - доходы будущих периодов (код строки бухгалтерского баланса 1530).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2.2.2. Финансовое состояние принципала признается неудовлетворительным (при этом дальнейший расчет показателей К2, К3, К4 и К5 не осуществляется) в следующих случаях: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б) 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2.2.3. При удовлетворительном результате анализа величины чистых активов принципала производится расчет показателей К2, К3, К4 и К5.</w:t>
      </w:r>
    </w:p>
    <w:p w:rsid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2.2.4. Коэффициент покрытия основных средств собственными средствами (К2) характеризует необходимость продажи организацией своих основных средств для осуществления полного расчета с кредиторами.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Коэффициент покрытия основных средств собственными средствами рассчитывается по данным бухгалтерского баланса по формуле: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06A3677" wp14:editId="65B84D5E">
            <wp:extent cx="1381125" cy="390525"/>
            <wp:effectExtent l="0" t="0" r="9525" b="9525"/>
            <wp:docPr id="7" name="Рисунок 7" descr="base_23910_1269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0_126921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СК - собственный капитал (код строки 1300 (на начало отчетного периода (далее - н.п.) + код строки 1300 (на конец отчетного периода (далее - к.п.);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ДБП - доходы будущих периодов (код строки 1530 (н.п.) + код строки 1530 (к.п.);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ОС - основные средства (код строки 1150 (н.п.) + код строки 1150 (к.п.).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2.2.5. Коэффициент текущей ликвидности (К3) показывает достаточность оборотных средств организации для погашения своих текущих обязательств.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Коэффициент текущей ликвидности рассчитывается по данным бухгалтерского баланса по формуле: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A7CFCB1" wp14:editId="57F70191">
            <wp:extent cx="981075" cy="390525"/>
            <wp:effectExtent l="0" t="0" r="9525" b="9525"/>
            <wp:docPr id="6" name="Рисунок 6" descr="base_23910_1269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10_126921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ОА - оборотные активы (код строки 1200 (н.п.) + код строки 1200 (к.п.);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ТО - текущие обязательства (код строки 1510 (н.п.) + код строки 1510 (к.п.) + код строки 1520 (н.п.) + код строки 1520 (к.п.) + код строки 1540 (н.п.) + код строки 1540 (к.п.) + код строки 1550 (н.п.) + код строки 1550 (к.п.).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2.2.6. Рентабельность продаж (К4) - доля прибыли от продаж в объеме продаж. Характеризует степень эффективности основной деятельности организации.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Рентабельность продаж рассчитывается по данным отчета о финансовых результатах по следующей формуле: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а) для каждого отчетного периода: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A040DC3" wp14:editId="4890D5DE">
            <wp:extent cx="876300" cy="390525"/>
            <wp:effectExtent l="0" t="0" r="0" b="9525"/>
            <wp:docPr id="5" name="Рисунок 5" descr="base_23910_1269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10_126921_3277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П - прибыль от продаж (код строки 2200);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В - выручка (код строки 2110);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б) для всего анализируемого периода: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769924B" wp14:editId="281E2F9F">
            <wp:extent cx="876300" cy="390525"/>
            <wp:effectExtent l="0" t="0" r="0" b="9525"/>
            <wp:docPr id="4" name="Рисунок 4" descr="base_23910_1269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10_126921_3277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П - прибыль от продаж (код строки 2200</w:t>
      </w:r>
      <w:r w:rsidRPr="002E7D8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+ код строки 2200</w:t>
      </w:r>
      <w:r w:rsidRPr="002E7D8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+ код строки 2200</w:t>
      </w:r>
      <w:r w:rsidRPr="002E7D8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В - выручка (код строки 2110</w:t>
      </w:r>
      <w:r w:rsidRPr="002E7D8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+ код строки 2110</w:t>
      </w:r>
      <w:r w:rsidRPr="002E7D8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+ код строки 2110</w:t>
      </w:r>
      <w:r w:rsidRPr="002E7D8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>), где 1 - 1-й отчетный период, 2 - 2-й отчетный период, 3 - последний отчетный период.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2.2.7. Норма чистой прибыли (К5) - доля чистой прибыли в объеме продаж. Характеризует общую экономическую эффективность деятельности организации.</w:t>
      </w:r>
    </w:p>
    <w:p w:rsid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Норма чистой прибыли рассчитывается по данным отчета о финансовых результатах по формуле:</w:t>
      </w:r>
    </w:p>
    <w:p w:rsid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для каждого отчетного периода: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915C1A7" wp14:editId="42B2E3CF">
            <wp:extent cx="962025" cy="390525"/>
            <wp:effectExtent l="0" t="0" r="9525" b="9525"/>
            <wp:docPr id="3" name="Рисунок 3" descr="base_23910_1269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10_126921_3277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ЧП - чистая прибыль (код строки 2400);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В - выручка (код строки 2110);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б) для всего анализируемого периода: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3DA4241" wp14:editId="472CB172">
            <wp:extent cx="962025" cy="390525"/>
            <wp:effectExtent l="0" t="0" r="9525" b="9525"/>
            <wp:docPr id="2" name="Рисунок 2" descr="base_23910_1269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10_126921_3277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ЧП - чистая прибыль (код строки 2400</w:t>
      </w:r>
      <w:r w:rsidRPr="002E7D8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+ код строки 2400</w:t>
      </w:r>
      <w:r w:rsidRPr="002E7D8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+ код строки 2400</w:t>
      </w:r>
      <w:r w:rsidRPr="002E7D8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В - выручка (код строки 2110</w:t>
      </w:r>
      <w:r w:rsidRPr="002E7D8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+ код строки 2110</w:t>
      </w:r>
      <w:r w:rsidRPr="002E7D8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+ код строки 2110</w:t>
      </w:r>
      <w:r w:rsidRPr="002E7D8B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>), где 1 - 1-й отчетный период, 2 - 2-й отчетный период, 3 - последний отчетный период.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2.3. Оценка финансового состояния принципала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2.3.1. Оценка расчетных значений показателей заключается в их соотнесении со следующими допустимыми значениями (при этом расчетные значения показателей К2, К3, К4 и К5 округляются до третьего знака после запятой):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2E7D8B" w:rsidRPr="002E7D8B" w:rsidTr="006C2552">
        <w:tc>
          <w:tcPr>
            <w:tcW w:w="3458" w:type="dxa"/>
            <w:vAlign w:val="center"/>
          </w:tcPr>
          <w:p w:rsidR="002E7D8B" w:rsidRPr="002E7D8B" w:rsidRDefault="002E7D8B" w:rsidP="002E7D8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613" w:type="dxa"/>
            <w:vAlign w:val="center"/>
          </w:tcPr>
          <w:p w:rsidR="002E7D8B" w:rsidRPr="002E7D8B" w:rsidRDefault="002E7D8B" w:rsidP="002E7D8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Допустимое значение</w:t>
            </w:r>
          </w:p>
        </w:tc>
      </w:tr>
      <w:tr w:rsidR="002E7D8B" w:rsidRPr="002E7D8B" w:rsidTr="006C2552">
        <w:tc>
          <w:tcPr>
            <w:tcW w:w="3458" w:type="dxa"/>
            <w:vAlign w:val="center"/>
          </w:tcPr>
          <w:p w:rsidR="002E7D8B" w:rsidRPr="002E7D8B" w:rsidRDefault="002E7D8B" w:rsidP="002E7D8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5613" w:type="dxa"/>
            <w:vAlign w:val="center"/>
          </w:tcPr>
          <w:p w:rsidR="002E7D8B" w:rsidRPr="002E7D8B" w:rsidRDefault="002E7D8B" w:rsidP="002E7D8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 или равно 1</w:t>
            </w:r>
          </w:p>
        </w:tc>
      </w:tr>
      <w:tr w:rsidR="002E7D8B" w:rsidRPr="002E7D8B" w:rsidTr="006C2552">
        <w:tc>
          <w:tcPr>
            <w:tcW w:w="3458" w:type="dxa"/>
            <w:vAlign w:val="center"/>
          </w:tcPr>
          <w:p w:rsidR="002E7D8B" w:rsidRPr="002E7D8B" w:rsidRDefault="002E7D8B" w:rsidP="002E7D8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5613" w:type="dxa"/>
            <w:vAlign w:val="center"/>
          </w:tcPr>
          <w:p w:rsidR="002E7D8B" w:rsidRPr="002E7D8B" w:rsidRDefault="002E7D8B" w:rsidP="002E7D8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 или равно 1</w:t>
            </w:r>
          </w:p>
        </w:tc>
      </w:tr>
      <w:tr w:rsidR="002E7D8B" w:rsidRPr="002E7D8B" w:rsidTr="006C2552">
        <w:tc>
          <w:tcPr>
            <w:tcW w:w="3458" w:type="dxa"/>
            <w:vAlign w:val="center"/>
          </w:tcPr>
          <w:p w:rsidR="002E7D8B" w:rsidRPr="002E7D8B" w:rsidRDefault="002E7D8B" w:rsidP="002E7D8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К4</w:t>
            </w:r>
          </w:p>
        </w:tc>
        <w:tc>
          <w:tcPr>
            <w:tcW w:w="5613" w:type="dxa"/>
            <w:vAlign w:val="center"/>
          </w:tcPr>
          <w:p w:rsidR="002E7D8B" w:rsidRPr="002E7D8B" w:rsidRDefault="002E7D8B" w:rsidP="002E7D8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 или равно 0</w:t>
            </w:r>
          </w:p>
        </w:tc>
      </w:tr>
      <w:tr w:rsidR="002E7D8B" w:rsidRPr="002E7D8B" w:rsidTr="006C2552">
        <w:tc>
          <w:tcPr>
            <w:tcW w:w="3458" w:type="dxa"/>
            <w:vAlign w:val="center"/>
          </w:tcPr>
          <w:p w:rsidR="002E7D8B" w:rsidRPr="002E7D8B" w:rsidRDefault="002E7D8B" w:rsidP="002E7D8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5613" w:type="dxa"/>
            <w:vAlign w:val="center"/>
          </w:tcPr>
          <w:p w:rsidR="002E7D8B" w:rsidRPr="002E7D8B" w:rsidRDefault="002E7D8B" w:rsidP="002E7D8B">
            <w:pPr>
              <w:autoSpaceDE w:val="0"/>
              <w:autoSpaceDN w:val="0"/>
              <w:adjustRightInd w:val="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 или равно 0</w:t>
            </w:r>
          </w:p>
        </w:tc>
      </w:tr>
    </w:tbl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2.3.2.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2.3.3. Вывод об удовлетворительном значении показателей делается при их допустимом значении: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для показателей К2 и К3 используются средние за отчетный период значения;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для показателей К4 и К5 используются значения, рассчитанные для всего анализируемого периода.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2.3.4. Финансовое состояние принципала признается удовлетворительным в случае удовлетворительного результата анализа величины чистых активов (К1) принципала, при условии, что в отношении каждого из показателей К2, К3, К4 и К5 сделан вывод об удовлетворительном значении в анализируемом периоде.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В иных случаях финансовое состояние принципала признается неудовлетворительным.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2.3.5. По результатам проведения анализа финансового состояния принципала Администрация оформляет заключение о финансовом состоянии принципала (приложение № 1 к Порядку) и направляет в комиссию по отбору юридических лиц на получение муниципальных гарантий.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149"/>
      <w:bookmarkEnd w:id="2"/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2.4. Мониторинг финансового состояния принципала после предоставления муниципальной гарантии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2.4.1. Мониторинг финансового состояния принципала осуществляется </w:t>
      </w:r>
      <w:r w:rsidR="00D81D3F" w:rsidRPr="00D81D3F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рабочих дней со дня поступления документов в соответствии с пунктами 2.2 - 2.4 настоящего Порядка.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2.4.2. По результатам мониторинга Администрация подготавливает заключение о финансовом состоянии принципала (приложение № 1 к Порядку) и после подписания направляет его принципалу.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b/>
          <w:sz w:val="24"/>
          <w:szCs w:val="24"/>
          <w:lang w:eastAsia="ru-RU"/>
        </w:rPr>
        <w:t>3. Проверка достаточности, надежности и ликвидности обеспечения исполнения обязательств принципала при предоставлении муниципальной гарантии, контроль за достаточностью, надежностью и ликвидностью предоставленного обеспечения после предоставления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3.1. Проверка достаточности, надежности и ликвидности обеспечения исполнения обязательств принципала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 обеспечения после предоставления муниципальной гарантии.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3.2. В качестве обеспечения обязательств принципала по удовлетворению регрессного требования гаранта к принципалу в связи с исполнением в полном объеме или какой-либо части гарантии может приниматься один или несколько из следующих видов обеспечения: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государственная или муниципальная гарантия;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поручительство юридического лица;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банковская гарантия кредитной организации, не являющейся кредитором принципала по кредиту, обеспечиваемому гарантией;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залог имущества принципала или третьего лица.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3.3. Проверка достаточности, надежности и ликвидности обеспечения исполнения обязательств принципала в части банковской гарантии и поручительства проводится в целях: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принятия решения о предоставлении муниципальной гарантии;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подтверждения достаточности обеспечения исполнения обязательств принципала в части банковской гарантии, поручительства по договорам об обеспечении исполнения возможных обязательств принципала в течение действия предоставленной муниципальной гарантии.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3.4. Проверка достаточности, надежности и ликвидности обеспечения исполнения обязательств принципала в части банковской гарантии и поручительства осуществляется в соответствии с пунктами 2.2 - 2.4 настоящего Порядка.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3.5. Для оценки достаточности, надежности и ликвидности обеспечения гарантом (поручителем) в </w:t>
      </w:r>
      <w:r w:rsidR="00D81D3F" w:rsidRPr="00D81D3F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представляются следующие документы: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письмо организации (гаранта/поручителя) о согласии выступить гарантом (поручителем) по обязательствам принципала;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нотариально заверенные копии учредительных документов организации (гаранта/поручителя), включая приложения и изменения;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нотариально заверенная копия документа, подтверждающего факт внесения записи об организации (гаранте/поручителе) как юридическом лице в единый государственный реестр юридических лиц;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документы, подтверждающие полномочия единоличного исполнительного 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приказ о вступлении в должность, копия трудового договора (контракта), доверенность и др.), а также нотариально заверенные образцы подписей указанных лиц и оттиска печати организации (при наличии);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нотариально заверенная копия документа, подтверждающего согласие уполномоченного органа управления организации (гаранта/поручителя) на совершение сделки по предоставлению банковской гарантии (поручительство) в обеспечение исполнения обязательств принципала (в случаях, установленных законодательством Российской Федерации, учредительными и иными документами организации);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справка территориального органа Федеральной налоговой службы, подтверждающая, что в отношении организации (гаранта/поручителя)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нотариально заверенная копия лицензии Центрального банка Российской Федерации на осуществление банковских операций (для гаранта);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бухгалтерский баланс организации и отчет о прибылях и убытках за последний год, предшествующий году обращения принципала с заявлением о предоставлении муниципальной гарантии (на каждую отчетную (квартальную) дату) и последнюю отчетную дату;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расчет собственных средств (капитала) организации (гаранта/поручителя) и показатели обязательных экономических нормативов за последние три года, предшествующих году обращения принципала с заявлением о предоставлении муниципальной гарантии (последний год - поквартально), с приведением диапазона допустимых значений;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 (для гаранта);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документы, подтверждающие согласование Центральным банком Российской Федерации кандидатур уполномоченных должностных лиц (для гаранта).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188"/>
      <w:bookmarkEnd w:id="3"/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3.6. Представляемые в соответствии с настоящим Порядком документы должны быть подписаны или заверены (за исключением нотариально заверенных 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копий) уполномоченным лицом, подпись которого должна быть скреплена печатью соответствующего юридического лица (при наличии).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Документы и иные материалы, полученные Администрацией в соответствии с настоящим Порядком, не возвращаются.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3.7. Минимальный объем (сумма) обеспечения исполнения обязательств принципала по удовлетворению регрессного требования гаранта к принципалу по муниципальной гарантии муниципального образования  должен быть 100 процентов объема (суммы) предоставленной муниципальной гарантии муниципального образования.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191"/>
      <w:bookmarkEnd w:id="4"/>
      <w:r w:rsidRPr="002E7D8B">
        <w:rPr>
          <w:rFonts w:ascii="Arial" w:eastAsia="Times New Roman" w:hAnsi="Arial" w:cs="Arial"/>
          <w:sz w:val="24"/>
          <w:szCs w:val="24"/>
          <w:lang w:eastAsia="ru-RU"/>
        </w:rPr>
        <w:t>3.8. Обеспечение исполнения обязательств принципала в части банковской гарантии (поручительство) по договорам об обеспечении исполнения возможных обязательств принципала признается достаточным, если по результатам проверки: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финансовое состояние гаранта (поручителя) является хорошим или удовлетворительным;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оценка надежности (ликвидности) банковской гарантии (поручительство) признается надежной;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- размер обеспечения исполнения обязательств принципала составляет 100 процентов суммы предоставляемой муниципальной гарантии.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3.9. Обеспечение исполнения обязательств принципала в части банковской гарантии (поручительство) по договорам об исполнении возможных обязательств принципала признается недостаточным при несоблюдении хотя бы одного из условий, указанных в пункте 3.8 настоящего Порядка.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3.10. По итогам проведения проверки достаточности, надежности и 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Администрация оформляет заключение о достаточности обеспечения исполнения обязательств принципала (приложение № 2 к Порядку).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197"/>
      <w:bookmarkEnd w:id="5"/>
      <w:r w:rsidRPr="002E7D8B">
        <w:rPr>
          <w:rFonts w:ascii="Arial" w:eastAsia="Times New Roman" w:hAnsi="Arial" w:cs="Arial"/>
          <w:sz w:val="24"/>
          <w:szCs w:val="24"/>
          <w:lang w:eastAsia="ru-RU"/>
        </w:rPr>
        <w:t>3.11. В случаях выявления недостаточности обеспечения исполнения обязательств принципала в части банковской гарантии и поручительства Администрация направляет в адрес принципала,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3.12. Контроль за достаточностью,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пунктами 2.2 - 2.4, 3.6 - 3.11 настоящего Порядка.</w:t>
      </w: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widowControl w:val="0"/>
        <w:autoSpaceDE w:val="0"/>
        <w:autoSpaceDN w:val="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2E7D8B" w:rsidRPr="002E7D8B" w:rsidRDefault="002E7D8B" w:rsidP="002E7D8B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</w:p>
    <w:p w:rsidR="002E7D8B" w:rsidRPr="002E7D8B" w:rsidRDefault="002E7D8B" w:rsidP="002E7D8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P209"/>
      <w:bookmarkEnd w:id="6"/>
      <w:r w:rsidRPr="002E7D8B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</w:p>
    <w:p w:rsidR="002E7D8B" w:rsidRPr="002E7D8B" w:rsidRDefault="002E7D8B" w:rsidP="002E7D8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по результатам анализа финансового состояния принципала</w:t>
      </w:r>
    </w:p>
    <w:p w:rsidR="002E7D8B" w:rsidRPr="002E7D8B" w:rsidRDefault="002E7D8B" w:rsidP="002E7D8B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   Анализ финансового состояния_____________________________________</w:t>
      </w:r>
    </w:p>
    <w:p w:rsidR="002E7D8B" w:rsidRPr="002E7D8B" w:rsidRDefault="002E7D8B" w:rsidP="002E7D8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принципала, ИНН, ОГРН)</w:t>
      </w:r>
    </w:p>
    <w:p w:rsidR="002E7D8B" w:rsidRPr="002E7D8B" w:rsidRDefault="002E7D8B" w:rsidP="002E7D8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>проведен за период 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2E7D8B" w:rsidRPr="002E7D8B" w:rsidRDefault="002E7D8B" w:rsidP="002E7D8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Pr="002E7D8B" w:rsidRDefault="002E7D8B" w:rsidP="002E7D8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7D8B">
        <w:rPr>
          <w:rFonts w:ascii="Arial" w:eastAsia="Times New Roman" w:hAnsi="Arial" w:cs="Arial"/>
          <w:sz w:val="24"/>
          <w:szCs w:val="24"/>
          <w:lang w:eastAsia="ru-RU"/>
        </w:rPr>
        <w:t xml:space="preserve">            Результаты оценки финансового состояния принципала</w:t>
      </w:r>
    </w:p>
    <w:p w:rsidR="002E7D8B" w:rsidRPr="002E7D8B" w:rsidRDefault="002E7D8B" w:rsidP="002E7D8B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D8B" w:rsidRDefault="002E7D8B">
      <w:pPr>
        <w:rPr>
          <w:rFonts w:ascii="Arial" w:hAnsi="Arial" w:cs="Arial"/>
          <w:sz w:val="24"/>
          <w:szCs w:val="24"/>
        </w:rPr>
        <w:sectPr w:rsidR="002E7D8B" w:rsidSect="00AD48B9"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961"/>
        <w:gridCol w:w="1961"/>
        <w:gridCol w:w="1963"/>
        <w:gridCol w:w="3458"/>
        <w:gridCol w:w="1304"/>
      </w:tblGrid>
      <w:tr w:rsidR="002E7D8B" w:rsidRPr="002E7D8B" w:rsidTr="006C2552">
        <w:tc>
          <w:tcPr>
            <w:tcW w:w="2948" w:type="dxa"/>
            <w:vMerge w:val="restart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5885" w:type="dxa"/>
            <w:gridSpan w:val="3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458" w:type="dxa"/>
            <w:vMerge w:val="restart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Допустимое значение</w:t>
            </w:r>
          </w:p>
        </w:tc>
        <w:tc>
          <w:tcPr>
            <w:tcW w:w="1304" w:type="dxa"/>
            <w:vMerge w:val="restart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</w:t>
            </w:r>
          </w:p>
        </w:tc>
      </w:tr>
      <w:tr w:rsidR="002E7D8B" w:rsidRPr="002E7D8B" w:rsidTr="006C2552">
        <w:tc>
          <w:tcPr>
            <w:tcW w:w="2948" w:type="dxa"/>
            <w:vMerge/>
          </w:tcPr>
          <w:p w:rsidR="002E7D8B" w:rsidRPr="002E7D8B" w:rsidRDefault="002E7D8B" w:rsidP="002E7D8B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</w:t>
            </w: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(1-й отчетный период)</w:t>
            </w: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</w:t>
            </w: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(2-й отчетный период)</w:t>
            </w:r>
          </w:p>
        </w:tc>
        <w:tc>
          <w:tcPr>
            <w:tcW w:w="1963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</w:t>
            </w: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(последний отчетный период)</w:t>
            </w:r>
          </w:p>
        </w:tc>
        <w:tc>
          <w:tcPr>
            <w:tcW w:w="3458" w:type="dxa"/>
            <w:vMerge/>
          </w:tcPr>
          <w:p w:rsidR="002E7D8B" w:rsidRPr="002E7D8B" w:rsidRDefault="002E7D8B" w:rsidP="002E7D8B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2E7D8B" w:rsidRPr="002E7D8B" w:rsidRDefault="002E7D8B" w:rsidP="002E7D8B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7D8B" w:rsidRPr="002E7D8B" w:rsidTr="006C2552">
        <w:tc>
          <w:tcPr>
            <w:tcW w:w="294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3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E7D8B" w:rsidRPr="002E7D8B" w:rsidTr="006C2552">
        <w:tc>
          <w:tcPr>
            <w:tcW w:w="294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Стоимость чистых активов К1 </w:t>
            </w:r>
            <w:r w:rsidRPr="002E7D8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 w:val="restart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величины уставного капитала на последнюю отчетную дату или менее величины уставного капитала в течение периода, не превышающего два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1304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7D8B" w:rsidRPr="002E7D8B" w:rsidTr="006C2552">
        <w:tc>
          <w:tcPr>
            <w:tcW w:w="294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справочно: величина уставного капитала </w:t>
            </w:r>
            <w:r w:rsidRPr="002E7D8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2E7D8B" w:rsidRPr="002E7D8B" w:rsidRDefault="002E7D8B" w:rsidP="002E7D8B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7D8B" w:rsidRPr="002E7D8B" w:rsidTr="006C2552">
        <w:tc>
          <w:tcPr>
            <w:tcW w:w="294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определенный законодательством минимальный размер уставного капитала </w:t>
            </w:r>
            <w:r w:rsidRPr="002E7D8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63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2E7D8B" w:rsidRPr="002E7D8B" w:rsidRDefault="002E7D8B" w:rsidP="002E7D8B">
            <w:pPr>
              <w:spacing w:after="20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7D8B" w:rsidRPr="002E7D8B" w:rsidTr="006C2552">
        <w:tc>
          <w:tcPr>
            <w:tcW w:w="294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Коэффициент покрытия основных средств собственными средствами К2 </w:t>
            </w:r>
            <w:r w:rsidRPr="002E7D8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 или равно 1</w:t>
            </w:r>
          </w:p>
        </w:tc>
        <w:tc>
          <w:tcPr>
            <w:tcW w:w="1304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7D8B" w:rsidRPr="002E7D8B" w:rsidTr="006C2552">
        <w:tc>
          <w:tcPr>
            <w:tcW w:w="294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Коэффициент текущей ликвидности К3 </w:t>
            </w:r>
            <w:r w:rsidRPr="002E7D8B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 или равно 1</w:t>
            </w:r>
          </w:p>
        </w:tc>
        <w:tc>
          <w:tcPr>
            <w:tcW w:w="1304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7D8B" w:rsidRPr="002E7D8B" w:rsidTr="006C2552">
        <w:tc>
          <w:tcPr>
            <w:tcW w:w="294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Рентабельность продаж в отчетном периоде К4</w:t>
            </w: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 или равно 0</w:t>
            </w:r>
          </w:p>
        </w:tc>
        <w:tc>
          <w:tcPr>
            <w:tcW w:w="1304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7D8B" w:rsidRPr="002E7D8B" w:rsidTr="006C2552">
        <w:tc>
          <w:tcPr>
            <w:tcW w:w="294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Рентабельность продаж в анализируемом периоде К4</w:t>
            </w: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 или равно 0</w:t>
            </w:r>
          </w:p>
        </w:tc>
        <w:tc>
          <w:tcPr>
            <w:tcW w:w="1304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7D8B" w:rsidRPr="002E7D8B" w:rsidTr="006C2552">
        <w:tc>
          <w:tcPr>
            <w:tcW w:w="294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 чистой прибыли в отчетном периоде К5</w:t>
            </w: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 или равно 0</w:t>
            </w:r>
          </w:p>
        </w:tc>
        <w:tc>
          <w:tcPr>
            <w:tcW w:w="1304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7D8B" w:rsidRPr="002E7D8B" w:rsidTr="006C2552">
        <w:tc>
          <w:tcPr>
            <w:tcW w:w="294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 чистой прибыли в анализируемом периоде К5</w:t>
            </w: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7D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 или равно 0</w:t>
            </w:r>
          </w:p>
        </w:tc>
        <w:tc>
          <w:tcPr>
            <w:tcW w:w="1304" w:type="dxa"/>
          </w:tcPr>
          <w:p w:rsidR="002E7D8B" w:rsidRPr="002E7D8B" w:rsidRDefault="002E7D8B" w:rsidP="002E7D8B">
            <w:pPr>
              <w:widowControl w:val="0"/>
              <w:autoSpaceDE w:val="0"/>
              <w:autoSpaceDN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E7D8B" w:rsidRPr="002E7D8B" w:rsidRDefault="002E7D8B">
      <w:pPr>
        <w:rPr>
          <w:rFonts w:ascii="Arial" w:hAnsi="Arial" w:cs="Arial"/>
          <w:sz w:val="24"/>
          <w:szCs w:val="24"/>
        </w:rPr>
        <w:sectPr w:rsidR="002E7D8B" w:rsidRPr="002E7D8B" w:rsidSect="002E7D8B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D8B">
        <w:rPr>
          <w:rFonts w:ascii="Arial" w:hAnsi="Arial" w:cs="Arial"/>
          <w:sz w:val="24"/>
          <w:szCs w:val="24"/>
        </w:rPr>
        <w:lastRenderedPageBreak/>
        <w:t xml:space="preserve">    Заключение: ________________________________________________________________________________________________________________________________________________________________________________________________________________.</w:t>
      </w: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D8B">
        <w:rPr>
          <w:rFonts w:ascii="Arial" w:hAnsi="Arial" w:cs="Arial"/>
          <w:sz w:val="24"/>
          <w:szCs w:val="24"/>
        </w:rPr>
        <w:t>Наименование</w:t>
      </w: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D8B">
        <w:rPr>
          <w:rFonts w:ascii="Arial" w:hAnsi="Arial" w:cs="Arial"/>
          <w:sz w:val="24"/>
          <w:szCs w:val="24"/>
        </w:rPr>
        <w:t>должности руководителя                  _____________ _____________________</w:t>
      </w: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D8B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2E7D8B">
        <w:rPr>
          <w:rFonts w:ascii="Arial" w:hAnsi="Arial" w:cs="Arial"/>
          <w:sz w:val="24"/>
          <w:szCs w:val="24"/>
        </w:rPr>
        <w:t xml:space="preserve">(подпись)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2E7D8B">
        <w:rPr>
          <w:rFonts w:ascii="Arial" w:hAnsi="Arial" w:cs="Arial"/>
          <w:sz w:val="24"/>
          <w:szCs w:val="24"/>
        </w:rPr>
        <w:t>(Ф.И.О.)</w:t>
      </w: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D8B">
        <w:rPr>
          <w:rFonts w:ascii="Arial" w:hAnsi="Arial" w:cs="Arial"/>
          <w:sz w:val="24"/>
          <w:szCs w:val="24"/>
        </w:rPr>
        <w:t>М.П.</w:t>
      </w: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D8B">
        <w:rPr>
          <w:rFonts w:ascii="Arial" w:hAnsi="Arial" w:cs="Arial"/>
          <w:sz w:val="24"/>
          <w:szCs w:val="24"/>
        </w:rPr>
        <w:t>_______________</w:t>
      </w: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D8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Pr="002E7D8B">
        <w:rPr>
          <w:rFonts w:ascii="Arial" w:hAnsi="Arial" w:cs="Arial"/>
          <w:sz w:val="24"/>
          <w:szCs w:val="24"/>
        </w:rPr>
        <w:t xml:space="preserve"> (дата)</w:t>
      </w:r>
    </w:p>
    <w:p w:rsidR="002E7D8B" w:rsidRPr="002E7D8B" w:rsidRDefault="002E7D8B" w:rsidP="002E7D8B">
      <w:pPr>
        <w:pStyle w:val="ConsPlusNormal"/>
        <w:jc w:val="both"/>
        <w:rPr>
          <w:sz w:val="24"/>
          <w:szCs w:val="24"/>
        </w:rPr>
      </w:pPr>
    </w:p>
    <w:p w:rsidR="002E7D8B" w:rsidRPr="002E7D8B" w:rsidRDefault="002E7D8B" w:rsidP="002E7D8B">
      <w:pPr>
        <w:pStyle w:val="ConsPlusNormal"/>
        <w:ind w:firstLine="540"/>
        <w:jc w:val="both"/>
        <w:rPr>
          <w:sz w:val="24"/>
          <w:szCs w:val="24"/>
        </w:rPr>
      </w:pPr>
      <w:r w:rsidRPr="002E7D8B">
        <w:rPr>
          <w:sz w:val="24"/>
          <w:szCs w:val="24"/>
        </w:rPr>
        <w:t>--------------------------------</w:t>
      </w:r>
    </w:p>
    <w:p w:rsidR="002E7D8B" w:rsidRPr="002E7D8B" w:rsidRDefault="002E7D8B" w:rsidP="002E7D8B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7" w:name="P301"/>
      <w:bookmarkEnd w:id="7"/>
      <w:r w:rsidRPr="002E7D8B">
        <w:rPr>
          <w:sz w:val="24"/>
          <w:szCs w:val="24"/>
        </w:rPr>
        <w:t>&lt;1&gt; На конец отчетного периода.</w:t>
      </w:r>
    </w:p>
    <w:p w:rsidR="002E7D8B" w:rsidRPr="002E7D8B" w:rsidRDefault="002E7D8B" w:rsidP="002E7D8B">
      <w:pPr>
        <w:pStyle w:val="ConsPlusNormal"/>
        <w:spacing w:before="200"/>
        <w:ind w:firstLine="540"/>
        <w:jc w:val="both"/>
        <w:rPr>
          <w:sz w:val="24"/>
          <w:szCs w:val="24"/>
        </w:rPr>
      </w:pPr>
      <w:bookmarkStart w:id="8" w:name="P302"/>
      <w:bookmarkEnd w:id="8"/>
      <w:r w:rsidRPr="002E7D8B">
        <w:rPr>
          <w:sz w:val="24"/>
          <w:szCs w:val="24"/>
        </w:rPr>
        <w:t>&lt;2&gt; Указываются средние за отчетный период значения.</w:t>
      </w:r>
    </w:p>
    <w:p w:rsidR="002E7D8B" w:rsidRPr="002E7D8B" w:rsidRDefault="002E7D8B" w:rsidP="002E7D8B">
      <w:pPr>
        <w:pStyle w:val="ConsPlusNormal"/>
        <w:jc w:val="both"/>
        <w:rPr>
          <w:sz w:val="24"/>
          <w:szCs w:val="24"/>
        </w:rPr>
      </w:pPr>
    </w:p>
    <w:p w:rsidR="002E7D8B" w:rsidRPr="002E7D8B" w:rsidRDefault="002E7D8B" w:rsidP="002E7D8B">
      <w:pPr>
        <w:pStyle w:val="ConsPlusNormal"/>
        <w:jc w:val="both"/>
        <w:rPr>
          <w:sz w:val="24"/>
          <w:szCs w:val="24"/>
        </w:rPr>
      </w:pPr>
    </w:p>
    <w:p w:rsidR="002E7D8B" w:rsidRPr="002E7D8B" w:rsidRDefault="002E7D8B" w:rsidP="002E7D8B">
      <w:pPr>
        <w:pStyle w:val="ConsPlusNormal"/>
        <w:jc w:val="both"/>
        <w:rPr>
          <w:sz w:val="24"/>
          <w:szCs w:val="24"/>
        </w:rPr>
      </w:pPr>
    </w:p>
    <w:p w:rsidR="002E7D8B" w:rsidRPr="002E7D8B" w:rsidRDefault="002E7D8B" w:rsidP="002E7D8B">
      <w:pPr>
        <w:pStyle w:val="ConsPlusNormal"/>
        <w:jc w:val="both"/>
        <w:rPr>
          <w:sz w:val="24"/>
          <w:szCs w:val="24"/>
        </w:rPr>
      </w:pPr>
    </w:p>
    <w:p w:rsidR="002E7D8B" w:rsidRPr="002E7D8B" w:rsidRDefault="002E7D8B" w:rsidP="002E7D8B">
      <w:pPr>
        <w:pStyle w:val="ConsPlusNormal"/>
        <w:jc w:val="both"/>
        <w:rPr>
          <w:sz w:val="24"/>
          <w:szCs w:val="24"/>
        </w:rPr>
      </w:pPr>
    </w:p>
    <w:p w:rsidR="002E7D8B" w:rsidRPr="002E7D8B" w:rsidRDefault="002E7D8B" w:rsidP="002E7D8B">
      <w:pPr>
        <w:pStyle w:val="ConsPlusNormal"/>
        <w:jc w:val="right"/>
        <w:outlineLvl w:val="1"/>
        <w:rPr>
          <w:sz w:val="24"/>
          <w:szCs w:val="24"/>
        </w:rPr>
      </w:pPr>
      <w:r w:rsidRPr="002E7D8B">
        <w:rPr>
          <w:sz w:val="24"/>
          <w:szCs w:val="24"/>
        </w:rPr>
        <w:br w:type="page"/>
      </w:r>
      <w:r w:rsidRPr="002E7D8B">
        <w:rPr>
          <w:sz w:val="24"/>
          <w:szCs w:val="24"/>
        </w:rPr>
        <w:lastRenderedPageBreak/>
        <w:t>Приложение № 2</w:t>
      </w:r>
    </w:p>
    <w:p w:rsidR="002E7D8B" w:rsidRPr="002E7D8B" w:rsidRDefault="002E7D8B" w:rsidP="002E7D8B">
      <w:pPr>
        <w:pStyle w:val="ConsPlusNormal"/>
        <w:jc w:val="right"/>
        <w:rPr>
          <w:sz w:val="24"/>
          <w:szCs w:val="24"/>
        </w:rPr>
      </w:pPr>
      <w:r w:rsidRPr="002E7D8B">
        <w:rPr>
          <w:sz w:val="24"/>
          <w:szCs w:val="24"/>
        </w:rPr>
        <w:t>к Порядку</w:t>
      </w:r>
    </w:p>
    <w:p w:rsidR="002E7D8B" w:rsidRPr="002E7D8B" w:rsidRDefault="002E7D8B" w:rsidP="002E7D8B">
      <w:pPr>
        <w:pStyle w:val="ConsPlusNormal"/>
        <w:jc w:val="both"/>
        <w:rPr>
          <w:sz w:val="24"/>
          <w:szCs w:val="24"/>
        </w:rPr>
      </w:pPr>
    </w:p>
    <w:p w:rsidR="002E7D8B" w:rsidRPr="002E7D8B" w:rsidRDefault="002E7D8B" w:rsidP="002E7D8B">
      <w:pPr>
        <w:pStyle w:val="ConsPlusNormal"/>
        <w:jc w:val="center"/>
        <w:rPr>
          <w:sz w:val="24"/>
          <w:szCs w:val="24"/>
        </w:rPr>
      </w:pPr>
      <w:bookmarkStart w:id="9" w:name="P313"/>
      <w:bookmarkEnd w:id="9"/>
      <w:r w:rsidRPr="002E7D8B">
        <w:rPr>
          <w:sz w:val="24"/>
          <w:szCs w:val="24"/>
        </w:rPr>
        <w:t>Заключение</w:t>
      </w:r>
    </w:p>
    <w:p w:rsidR="002E7D8B" w:rsidRPr="002E7D8B" w:rsidRDefault="002E7D8B" w:rsidP="002E7D8B">
      <w:pPr>
        <w:pStyle w:val="ConsPlusNormal"/>
        <w:jc w:val="center"/>
        <w:rPr>
          <w:sz w:val="24"/>
          <w:szCs w:val="24"/>
        </w:rPr>
      </w:pPr>
      <w:r w:rsidRPr="002E7D8B">
        <w:rPr>
          <w:sz w:val="24"/>
          <w:szCs w:val="24"/>
        </w:rPr>
        <w:t>№ ____ от «__» ________ 20__ г.</w:t>
      </w:r>
    </w:p>
    <w:p w:rsidR="002E7D8B" w:rsidRPr="002E7D8B" w:rsidRDefault="002E7D8B" w:rsidP="002E7D8B">
      <w:pPr>
        <w:pStyle w:val="ConsPlusNormal"/>
        <w:jc w:val="center"/>
        <w:rPr>
          <w:sz w:val="24"/>
          <w:szCs w:val="24"/>
        </w:rPr>
      </w:pPr>
      <w:r w:rsidRPr="002E7D8B">
        <w:rPr>
          <w:sz w:val="24"/>
          <w:szCs w:val="24"/>
        </w:rPr>
        <w:t>о проверке достаточности, надежности и ликвидности</w:t>
      </w:r>
    </w:p>
    <w:p w:rsidR="002E7D8B" w:rsidRPr="002E7D8B" w:rsidRDefault="002E7D8B" w:rsidP="002E7D8B">
      <w:pPr>
        <w:pStyle w:val="ConsPlusNormal"/>
        <w:jc w:val="center"/>
        <w:rPr>
          <w:sz w:val="24"/>
          <w:szCs w:val="24"/>
        </w:rPr>
      </w:pPr>
      <w:r w:rsidRPr="002E7D8B">
        <w:rPr>
          <w:sz w:val="24"/>
          <w:szCs w:val="24"/>
        </w:rPr>
        <w:t>обеспечения исполнения обязательств принципала,</w:t>
      </w:r>
    </w:p>
    <w:p w:rsidR="002E7D8B" w:rsidRPr="002E7D8B" w:rsidRDefault="002E7D8B" w:rsidP="002E7D8B">
      <w:pPr>
        <w:pStyle w:val="ConsPlusNormal"/>
        <w:jc w:val="center"/>
        <w:rPr>
          <w:sz w:val="24"/>
          <w:szCs w:val="24"/>
        </w:rPr>
      </w:pPr>
      <w:r w:rsidRPr="002E7D8B">
        <w:rPr>
          <w:sz w:val="24"/>
          <w:szCs w:val="24"/>
        </w:rPr>
        <w:t>предоставляемого при предоставлении муниципальных гарантий</w:t>
      </w:r>
    </w:p>
    <w:p w:rsidR="00D81D3F" w:rsidRPr="00D81D3F" w:rsidRDefault="002E7D8B" w:rsidP="002E7D8B">
      <w:pPr>
        <w:pStyle w:val="ConsPlusNormal"/>
        <w:jc w:val="center"/>
        <w:rPr>
          <w:sz w:val="24"/>
          <w:szCs w:val="24"/>
        </w:rPr>
      </w:pPr>
      <w:r w:rsidRPr="00D81D3F">
        <w:rPr>
          <w:sz w:val="24"/>
          <w:szCs w:val="24"/>
        </w:rPr>
        <w:t xml:space="preserve">муниципального образования </w:t>
      </w:r>
      <w:r w:rsidR="00D81D3F" w:rsidRPr="00D81D3F">
        <w:rPr>
          <w:sz w:val="24"/>
          <w:szCs w:val="24"/>
        </w:rPr>
        <w:t xml:space="preserve">Абалаковский сельсовет </w:t>
      </w:r>
    </w:p>
    <w:p w:rsidR="002E7D8B" w:rsidRPr="00D81D3F" w:rsidRDefault="00D81D3F" w:rsidP="002E7D8B">
      <w:pPr>
        <w:pStyle w:val="ConsPlusNormal"/>
        <w:jc w:val="center"/>
        <w:rPr>
          <w:sz w:val="24"/>
          <w:szCs w:val="24"/>
        </w:rPr>
      </w:pPr>
      <w:r w:rsidRPr="00D81D3F">
        <w:rPr>
          <w:sz w:val="24"/>
          <w:szCs w:val="24"/>
        </w:rPr>
        <w:t>Енисейского района Красноярского края</w:t>
      </w:r>
    </w:p>
    <w:p w:rsidR="002E7D8B" w:rsidRPr="002E7D8B" w:rsidRDefault="002E7D8B" w:rsidP="002E7D8B">
      <w:pPr>
        <w:pStyle w:val="ConsPlusNormal"/>
        <w:jc w:val="center"/>
        <w:rPr>
          <w:sz w:val="24"/>
          <w:szCs w:val="24"/>
        </w:rPr>
      </w:pPr>
      <w:r w:rsidRPr="002E7D8B">
        <w:rPr>
          <w:sz w:val="24"/>
          <w:szCs w:val="24"/>
        </w:rPr>
        <w:t>___________________________________________________________</w:t>
      </w:r>
    </w:p>
    <w:p w:rsidR="002E7D8B" w:rsidRPr="002E7D8B" w:rsidRDefault="002E7D8B" w:rsidP="002E7D8B">
      <w:pPr>
        <w:pStyle w:val="ConsPlusNormal"/>
        <w:jc w:val="center"/>
        <w:rPr>
          <w:sz w:val="24"/>
          <w:szCs w:val="24"/>
        </w:rPr>
      </w:pPr>
      <w:r w:rsidRPr="002E7D8B">
        <w:rPr>
          <w:sz w:val="24"/>
          <w:szCs w:val="24"/>
        </w:rPr>
        <w:t>(полное наименование организации (гаранта/поручителя)</w:t>
      </w:r>
    </w:p>
    <w:p w:rsidR="002E7D8B" w:rsidRPr="002E7D8B" w:rsidRDefault="002E7D8B" w:rsidP="002E7D8B">
      <w:pPr>
        <w:pStyle w:val="ConsPlusNormal"/>
        <w:jc w:val="both"/>
        <w:rPr>
          <w:sz w:val="24"/>
          <w:szCs w:val="24"/>
        </w:rPr>
      </w:pPr>
    </w:p>
    <w:p w:rsidR="002E7D8B" w:rsidRPr="002E7D8B" w:rsidRDefault="002E7D8B" w:rsidP="002E7D8B">
      <w:pPr>
        <w:pStyle w:val="ConsPlusNormal"/>
        <w:ind w:firstLine="540"/>
        <w:jc w:val="both"/>
        <w:rPr>
          <w:sz w:val="24"/>
          <w:szCs w:val="24"/>
        </w:rPr>
      </w:pPr>
      <w:r w:rsidRPr="00D81D3F">
        <w:rPr>
          <w:sz w:val="24"/>
          <w:szCs w:val="24"/>
        </w:rPr>
        <w:t xml:space="preserve">Администрация </w:t>
      </w:r>
      <w:r w:rsidR="00D81D3F" w:rsidRPr="00D81D3F">
        <w:rPr>
          <w:sz w:val="24"/>
          <w:szCs w:val="24"/>
        </w:rPr>
        <w:t>Абалаковского сельсовета Енисейского района Красноярского</w:t>
      </w:r>
      <w:r w:rsidR="00D81D3F" w:rsidRPr="00D81D3F">
        <w:rPr>
          <w:i/>
          <w:sz w:val="24"/>
          <w:szCs w:val="24"/>
        </w:rPr>
        <w:t xml:space="preserve"> </w:t>
      </w:r>
      <w:r w:rsidRPr="002E7D8B">
        <w:rPr>
          <w:sz w:val="24"/>
          <w:szCs w:val="24"/>
        </w:rPr>
        <w:t xml:space="preserve">по результатам проверки достаточности, надежности и ликвидности обеспечения, предоставляемого при предоставлении муниципальных гарантий </w:t>
      </w:r>
      <w:r w:rsidRPr="00D81D3F">
        <w:rPr>
          <w:sz w:val="24"/>
          <w:szCs w:val="24"/>
        </w:rPr>
        <w:t>муниципального образования</w:t>
      </w:r>
      <w:r w:rsidR="00D81D3F" w:rsidRPr="00D81D3F">
        <w:t xml:space="preserve"> </w:t>
      </w:r>
      <w:r w:rsidR="00D81D3F" w:rsidRPr="00D81D3F">
        <w:rPr>
          <w:sz w:val="24"/>
          <w:szCs w:val="24"/>
        </w:rPr>
        <w:t>Абалаковский сельсовет Енисейского района Красноярского края</w:t>
      </w:r>
      <w:r w:rsidRPr="00D81D3F">
        <w:rPr>
          <w:sz w:val="24"/>
          <w:szCs w:val="24"/>
        </w:rPr>
        <w:t>,</w:t>
      </w:r>
      <w:r w:rsidRPr="002E7D8B">
        <w:rPr>
          <w:sz w:val="24"/>
          <w:szCs w:val="24"/>
        </w:rPr>
        <w:t xml:space="preserve"> части банковской гарантии (поручительства) по договору от «___» _________ 20__ года № ____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от «___» _____________ 20__ года № _____ (далее - Договор об обеспечении), проведенной в соответствии с Порядком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 считает обеспечение по Договору об обеспечении _____________________________ для принятия в качестве обеспечения (достаточным, недостаточным) гарантируемых обязательств на сумму ___________ (указывается сумма поручительства по Договору об обеспечении).</w:t>
      </w:r>
    </w:p>
    <w:p w:rsidR="002E7D8B" w:rsidRPr="002E7D8B" w:rsidRDefault="002E7D8B" w:rsidP="002E7D8B">
      <w:pPr>
        <w:pStyle w:val="ConsPlusNormal"/>
        <w:jc w:val="both"/>
        <w:rPr>
          <w:sz w:val="24"/>
          <w:szCs w:val="24"/>
        </w:rPr>
      </w:pP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D8B">
        <w:rPr>
          <w:rFonts w:ascii="Arial" w:hAnsi="Arial" w:cs="Arial"/>
          <w:sz w:val="24"/>
          <w:szCs w:val="24"/>
        </w:rPr>
        <w:t>Наименование</w:t>
      </w: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D8B">
        <w:rPr>
          <w:rFonts w:ascii="Arial" w:hAnsi="Arial" w:cs="Arial"/>
          <w:sz w:val="24"/>
          <w:szCs w:val="24"/>
        </w:rPr>
        <w:t>должности руководителя                  _____________ _____________________</w:t>
      </w: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D8B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2E7D8B">
        <w:rPr>
          <w:rFonts w:ascii="Arial" w:hAnsi="Arial" w:cs="Arial"/>
          <w:sz w:val="24"/>
          <w:szCs w:val="24"/>
        </w:rPr>
        <w:t xml:space="preserve">(подпись)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2E7D8B">
        <w:rPr>
          <w:rFonts w:ascii="Arial" w:hAnsi="Arial" w:cs="Arial"/>
          <w:sz w:val="24"/>
          <w:szCs w:val="24"/>
        </w:rPr>
        <w:t xml:space="preserve"> (Ф.И.О.)</w:t>
      </w: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D8B">
        <w:rPr>
          <w:rFonts w:ascii="Arial" w:hAnsi="Arial" w:cs="Arial"/>
          <w:sz w:val="24"/>
          <w:szCs w:val="24"/>
        </w:rPr>
        <w:t>М.П.</w:t>
      </w: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D8B">
        <w:rPr>
          <w:rFonts w:ascii="Arial" w:hAnsi="Arial" w:cs="Arial"/>
          <w:sz w:val="24"/>
          <w:szCs w:val="24"/>
        </w:rPr>
        <w:t>_______________</w:t>
      </w:r>
    </w:p>
    <w:p w:rsidR="002E7D8B" w:rsidRPr="002E7D8B" w:rsidRDefault="002E7D8B" w:rsidP="002E7D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7D8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2E7D8B">
        <w:rPr>
          <w:rFonts w:ascii="Arial" w:hAnsi="Arial" w:cs="Arial"/>
          <w:sz w:val="24"/>
          <w:szCs w:val="24"/>
        </w:rPr>
        <w:t>(дата)</w:t>
      </w:r>
    </w:p>
    <w:p w:rsidR="00AD48B9" w:rsidRPr="002E7D8B" w:rsidRDefault="00AD48B9">
      <w:pPr>
        <w:rPr>
          <w:rFonts w:ascii="Arial" w:hAnsi="Arial" w:cs="Arial"/>
          <w:sz w:val="24"/>
          <w:szCs w:val="24"/>
        </w:rPr>
      </w:pPr>
    </w:p>
    <w:sectPr w:rsidR="00AD48B9" w:rsidRPr="002E7D8B" w:rsidSect="002E7D8B">
      <w:type w:val="continuous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52" w:rsidRDefault="00EF4F52" w:rsidP="00B54CB1">
      <w:r>
        <w:separator/>
      </w:r>
    </w:p>
  </w:endnote>
  <w:endnote w:type="continuationSeparator" w:id="0">
    <w:p w:rsidR="00EF4F52" w:rsidRDefault="00EF4F52" w:rsidP="00B5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556600"/>
      <w:docPartObj>
        <w:docPartGallery w:val="Page Numbers (Bottom of Page)"/>
        <w:docPartUnique/>
      </w:docPartObj>
    </w:sdtPr>
    <w:sdtEndPr/>
    <w:sdtContent>
      <w:p w:rsidR="00B54CB1" w:rsidRDefault="00B54C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568">
          <w:rPr>
            <w:noProof/>
          </w:rPr>
          <w:t>13</w:t>
        </w:r>
        <w:r>
          <w:fldChar w:fldCharType="end"/>
        </w:r>
      </w:p>
    </w:sdtContent>
  </w:sdt>
  <w:p w:rsidR="00B54CB1" w:rsidRDefault="00B54C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52" w:rsidRDefault="00EF4F52" w:rsidP="00B54CB1">
      <w:r>
        <w:separator/>
      </w:r>
    </w:p>
  </w:footnote>
  <w:footnote w:type="continuationSeparator" w:id="0">
    <w:p w:rsidR="00EF4F52" w:rsidRDefault="00EF4F52" w:rsidP="00B5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1"/>
    <w:rsid w:val="001A2C11"/>
    <w:rsid w:val="001D7E18"/>
    <w:rsid w:val="001F1715"/>
    <w:rsid w:val="0024097C"/>
    <w:rsid w:val="002E7D8B"/>
    <w:rsid w:val="0035340F"/>
    <w:rsid w:val="004266E2"/>
    <w:rsid w:val="00443F18"/>
    <w:rsid w:val="00495BA5"/>
    <w:rsid w:val="004D2126"/>
    <w:rsid w:val="00536CF4"/>
    <w:rsid w:val="00653EA1"/>
    <w:rsid w:val="00703A08"/>
    <w:rsid w:val="00867F6B"/>
    <w:rsid w:val="00A03236"/>
    <w:rsid w:val="00AD48B9"/>
    <w:rsid w:val="00B54CB1"/>
    <w:rsid w:val="00BB4D15"/>
    <w:rsid w:val="00BD5489"/>
    <w:rsid w:val="00CC1551"/>
    <w:rsid w:val="00D7779B"/>
    <w:rsid w:val="00D81D3F"/>
    <w:rsid w:val="00EF4F52"/>
    <w:rsid w:val="00F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3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32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23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CB1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B5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CB1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2E7D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7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3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32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23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4C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CB1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B54C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CB1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2E7D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7D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adm.ru/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2021-01-11T04:30:00Z</cp:lastPrinted>
  <dcterms:created xsi:type="dcterms:W3CDTF">2021-01-13T07:14:00Z</dcterms:created>
  <dcterms:modified xsi:type="dcterms:W3CDTF">2021-01-13T07:14:00Z</dcterms:modified>
</cp:coreProperties>
</file>